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rFonts w:hint="default"/>
          <w:color w:val="222222"/>
          <w:sz w:val="28"/>
          <w:szCs w:val="20"/>
          <w:u w:val="single"/>
          <w:lang w:val="ru-RU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44.02.01 Дошкольное образование </w:t>
      </w:r>
      <w:r>
        <w:rPr>
          <w:rStyle w:val="4"/>
          <w:color w:val="222222"/>
          <w:sz w:val="28"/>
          <w:szCs w:val="20"/>
          <w:u w:val="single"/>
        </w:rPr>
        <w:t xml:space="preserve">(на базе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9</w:t>
      </w:r>
      <w:r>
        <w:rPr>
          <w:rStyle w:val="4"/>
          <w:color w:val="222222"/>
          <w:sz w:val="28"/>
          <w:szCs w:val="20"/>
          <w:u w:val="single"/>
        </w:rPr>
        <w:t xml:space="preserve"> класса)</w:t>
      </w: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  <w:u w:val="single"/>
        </w:rPr>
        <w:t>Количество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 </w:t>
      </w:r>
      <w:r>
        <w:rPr>
          <w:rStyle w:val="4"/>
          <w:color w:val="222222"/>
          <w:sz w:val="28"/>
          <w:szCs w:val="20"/>
          <w:u w:val="single"/>
        </w:rPr>
        <w:t xml:space="preserve">мест  -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25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.0</w:t>
      </w:r>
      <w:r>
        <w:rPr>
          <w:rFonts w:hint="default"/>
          <w:color w:val="222222"/>
          <w:sz w:val="28"/>
          <w:szCs w:val="20"/>
          <w:lang w:val="ru-RU"/>
        </w:rPr>
        <w:t>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0" w:type="auto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549"/>
        <w:gridCol w:w="2650"/>
        <w:gridCol w:w="1975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26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54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65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</w:t>
            </w:r>
          </w:p>
        </w:tc>
        <w:tc>
          <w:tcPr>
            <w:tcW w:w="197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54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Д-14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Наумова Ангелина Алексеевна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4,52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Д-3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Ширманова Яна Андреевна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4,47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Д-2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Кудинова Эвелина Сергеевна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4,36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Д-5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Соломаха Григорий Артемович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4,31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Д-6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Даглы Зера Рустемовна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4,31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Д-7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Нечаева Екатерина Валерьевна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4.20</w:t>
            </w:r>
          </w:p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</w:p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>оригинал</w:t>
            </w:r>
          </w:p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</w:p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Д-13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Фаличева Екатерина Дмитриевна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4,15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Д-9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Нессонова Дарина Андреевна 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4,10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 xml:space="preserve">оригинал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Д-1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Шпехт Валерия Сергеевна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4,05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Д-8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Русалина Татьяна Вячеславовна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3,90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Д-10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Койда Влада Дмитриевна 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3,95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00" w:lineRule="atLeast"/>
              <w:ind w:left="360" w:left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color w:val="222222"/>
                <w:sz w:val="28"/>
                <w:szCs w:val="20"/>
                <w:lang w:val="ru-RU"/>
              </w:rPr>
              <w:t>11.</w:t>
            </w: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Д-12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Ефремова Алина Александровна 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3,95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00" w:lineRule="atLeast"/>
              <w:ind w:left="360" w:leftChars="0"/>
              <w:jc w:val="center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color w:val="222222"/>
                <w:sz w:val="28"/>
                <w:szCs w:val="20"/>
                <w:lang w:val="ru-RU"/>
              </w:rPr>
              <w:t>12.</w:t>
            </w: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Д-11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Аджиасанова Арзы Арсеновна  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3,94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26" w:type="dxa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00" w:lineRule="atLeast"/>
              <w:ind w:left="360" w:leftChars="0"/>
              <w:jc w:val="center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color w:val="222222"/>
                <w:sz w:val="28"/>
                <w:szCs w:val="20"/>
                <w:lang w:val="ru-RU"/>
              </w:rPr>
              <w:t>13.</w:t>
            </w:r>
          </w:p>
        </w:tc>
        <w:tc>
          <w:tcPr>
            <w:tcW w:w="1549" w:type="dxa"/>
            <w:vAlign w:val="bottom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Д-4</w:t>
            </w:r>
          </w:p>
        </w:tc>
        <w:tc>
          <w:tcPr>
            <w:tcW w:w="2650" w:type="dxa"/>
            <w:vAlign w:val="bottom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Хушнаданова Оксана Вадимовна</w:t>
            </w:r>
          </w:p>
        </w:tc>
        <w:tc>
          <w:tcPr>
            <w:tcW w:w="1975" w:type="dxa"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3,84</w:t>
            </w:r>
          </w:p>
        </w:tc>
        <w:tc>
          <w:tcPr>
            <w:tcW w:w="2545" w:type="dxa"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ru-RU"/>
              </w:rPr>
              <w:t>оригинал</w:t>
            </w:r>
          </w:p>
        </w:tc>
      </w:tr>
    </w:tbl>
    <w:p/>
    <w:p>
      <w:pPr>
        <w:rPr>
          <w:rFonts w:hint="default"/>
          <w:lang w:val="ru-RU"/>
        </w:rPr>
      </w:pPr>
    </w:p>
    <w:p/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17415"/>
    <w:rsid w:val="09184FD2"/>
    <w:rsid w:val="09872AAA"/>
    <w:rsid w:val="0CE13012"/>
    <w:rsid w:val="0D33366F"/>
    <w:rsid w:val="185D468B"/>
    <w:rsid w:val="195F27AE"/>
    <w:rsid w:val="1EC37EE1"/>
    <w:rsid w:val="2AB62A24"/>
    <w:rsid w:val="2FC51E13"/>
    <w:rsid w:val="3B400058"/>
    <w:rsid w:val="42D56145"/>
    <w:rsid w:val="54FD6F91"/>
    <w:rsid w:val="5AD257CA"/>
    <w:rsid w:val="604F72A5"/>
    <w:rsid w:val="6F413D7B"/>
    <w:rsid w:val="6F5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2024-06-21T10:52:00Z</dcterms:created>
  <dc:creator>user</dc:creator>
  <cp:lastModifiedBy>Артур Меломанов</cp:lastModifiedBy>
  <cp:lastPrinted>2024-07-02T05:13:00Z</cp:lastPrinted>
  <dcterms:modified xsi:type="dcterms:W3CDTF">2024-07-15T12:52:07Z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C3F21314286D4E289DEE86527A115F34</vt:lpwstr>
  </property>
</Properties>
</file>